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283266">
      <w:pPr>
        <w:ind w:right="441" w:firstLine="709"/>
        <w:jc w:val="center"/>
        <w:rPr>
          <w:b/>
          <w:bCs/>
          <w:sz w:val="20"/>
          <w:szCs w:val="20"/>
        </w:rPr>
      </w:pPr>
      <w:r w:rsidRPr="004142D8">
        <w:rPr>
          <w:b/>
          <w:bCs/>
          <w:sz w:val="20"/>
          <w:szCs w:val="20"/>
        </w:rPr>
        <w:t>КОНТРАКТ №</w:t>
      </w:r>
      <w:r w:rsidR="00283266" w:rsidRPr="00283266">
        <w:rPr>
          <w:b/>
          <w:bCs/>
          <w:sz w:val="20"/>
          <w:szCs w:val="20"/>
        </w:rPr>
        <w:t>0329100015824000339</w:t>
      </w:r>
    </w:p>
    <w:p w:rsidR="003C2EAC" w:rsidRDefault="002D040D" w:rsidP="00C3612D">
      <w:pPr>
        <w:ind w:right="441" w:firstLine="709"/>
        <w:jc w:val="center"/>
        <w:rPr>
          <w:b/>
          <w:bCs/>
          <w:sz w:val="20"/>
          <w:szCs w:val="20"/>
        </w:rPr>
      </w:pPr>
      <w:r w:rsidRPr="00F504CD">
        <w:rPr>
          <w:b/>
          <w:sz w:val="20"/>
          <w:szCs w:val="20"/>
        </w:rPr>
        <w:t>Оказание услуг по предоставлению подписки на электронные версии периодических изданий для нужд ФГБОУ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7E021C">
        <w:rPr>
          <w:sz w:val="20"/>
          <w:szCs w:val="20"/>
          <w:lang w:eastAsia="zh-CN"/>
        </w:rPr>
        <w:t>23</w:t>
      </w:r>
      <w:r w:rsidRPr="004142D8">
        <w:rPr>
          <w:sz w:val="20"/>
          <w:szCs w:val="20"/>
          <w:lang w:eastAsia="zh-CN"/>
        </w:rPr>
        <w:t xml:space="preserve">» </w:t>
      </w:r>
      <w:r w:rsidR="007E021C">
        <w:rPr>
          <w:sz w:val="20"/>
          <w:szCs w:val="20"/>
          <w:lang w:eastAsia="zh-CN"/>
        </w:rPr>
        <w:t xml:space="preserve">декабря </w:t>
      </w:r>
      <w:r w:rsidRPr="004142D8">
        <w:rPr>
          <w:sz w:val="20"/>
          <w:szCs w:val="20"/>
          <w:lang w:eastAsia="zh-CN"/>
        </w:rPr>
        <w:t>20</w:t>
      </w:r>
      <w:r>
        <w:rPr>
          <w:sz w:val="20"/>
          <w:szCs w:val="20"/>
          <w:lang w:eastAsia="zh-CN"/>
        </w:rPr>
        <w:t>2</w:t>
      </w:r>
      <w:r w:rsidR="007E021C">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первого проректора Акинчиц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283266" w:rsidP="003C2EAC">
      <w:pPr>
        <w:ind w:firstLine="709"/>
        <w:jc w:val="both"/>
        <w:rPr>
          <w:sz w:val="20"/>
          <w:szCs w:val="20"/>
        </w:rPr>
      </w:pPr>
      <w:proofErr w:type="gramStart"/>
      <w:r w:rsidRPr="00283266">
        <w:rPr>
          <w:b/>
          <w:sz w:val="20"/>
          <w:szCs w:val="20"/>
        </w:rPr>
        <w:t>ОБЩЕСТВО С ОГРАНИЧЕННОЙ ОТВЕТСТВЕННОСТЬЮ «ИВИС» (ООО «ИВИС»)</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 xml:space="preserve">представителя </w:t>
      </w:r>
      <w:r w:rsidRPr="00283266">
        <w:rPr>
          <w:sz w:val="20"/>
          <w:szCs w:val="20"/>
        </w:rPr>
        <w:t>Ушанова Дмитрия Евгеньевича</w:t>
      </w:r>
      <w:r w:rsidR="003C2EAC" w:rsidRPr="004142D8">
        <w:rPr>
          <w:sz w:val="20"/>
          <w:szCs w:val="20"/>
        </w:rPr>
        <w:t xml:space="preserve">, действующего на основании </w:t>
      </w:r>
      <w:r>
        <w:rPr>
          <w:sz w:val="20"/>
          <w:szCs w:val="20"/>
        </w:rPr>
        <w:t>м</w:t>
      </w:r>
      <w:r w:rsidRPr="00283266">
        <w:rPr>
          <w:sz w:val="20"/>
          <w:szCs w:val="20"/>
        </w:rPr>
        <w:t>ашиночитаемой доверенности №01032402000001295801</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 государственных</w:t>
      </w:r>
      <w:proofErr w:type="gramEnd"/>
      <w:r w:rsidR="003C2EAC" w:rsidRPr="004142D8">
        <w:rPr>
          <w:sz w:val="20"/>
          <w:szCs w:val="20"/>
        </w:rPr>
        <w:t xml:space="preserve"> и муниципальных нужд», на основании результатов закупки путем проведения электронного аукциона (</w:t>
      </w:r>
      <w:r w:rsidRPr="00283266">
        <w:rPr>
          <w:sz w:val="20"/>
          <w:szCs w:val="20"/>
        </w:rPr>
        <w:t>Протокол подведения итогов определения поставщика (подрядчика, исполнителя) от 11.12.2024 №ИЭА</w:t>
      </w:r>
      <w:proofErr w:type="gramStart"/>
      <w:r w:rsidRPr="00283266">
        <w:rPr>
          <w:sz w:val="20"/>
          <w:szCs w:val="20"/>
        </w:rPr>
        <w:t>1</w:t>
      </w:r>
      <w:proofErr w:type="gramEnd"/>
      <w:r>
        <w:rPr>
          <w:sz w:val="20"/>
          <w:szCs w:val="20"/>
        </w:rPr>
        <w:t xml:space="preserve"> (</w:t>
      </w:r>
      <w:r w:rsidRPr="00283266">
        <w:rPr>
          <w:sz w:val="20"/>
          <w:szCs w:val="20"/>
        </w:rPr>
        <w:t>0329100015824000339)</w:t>
      </w:r>
      <w:r w:rsidR="003C2EAC" w:rsidRPr="004142D8">
        <w:rPr>
          <w:sz w:val="20"/>
          <w:szCs w:val="20"/>
        </w:rPr>
        <w:t>, ИКЗ</w:t>
      </w:r>
      <w:r w:rsidR="0059738B">
        <w:rPr>
          <w:sz w:val="20"/>
          <w:szCs w:val="20"/>
        </w:rPr>
        <w:t xml:space="preserve"> </w:t>
      </w:r>
      <w:r w:rsidRPr="00283266">
        <w:rPr>
          <w:sz w:val="20"/>
          <w:szCs w:val="20"/>
        </w:rPr>
        <w:t>241344404847234440100100180060000244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283266" w:rsidRPr="00283266">
        <w:rPr>
          <w:sz w:val="20"/>
          <w:szCs w:val="20"/>
        </w:rPr>
        <w:t>по предоставлению подписки на электронные версии периодических изданий для нужд ФГБОУ ВО ВолгГМУ Минздрава России</w:t>
      </w:r>
      <w:r w:rsidRPr="00283266">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584AA8" w:rsidRPr="004142D8">
        <w:rPr>
          <w:sz w:val="20"/>
          <w:szCs w:val="20"/>
        </w:rPr>
        <w:t>Приложение 1 к Контракту</w:t>
      </w:r>
      <w:r w:rsidR="002A7CA1">
        <w:rPr>
          <w:sz w:val="20"/>
          <w:szCs w:val="20"/>
        </w:rPr>
        <w:t>)</w:t>
      </w:r>
      <w:r w:rsidRPr="004142D8">
        <w:rPr>
          <w:sz w:val="20"/>
          <w:szCs w:val="20"/>
        </w:rPr>
        <w:t>.</w:t>
      </w:r>
    </w:p>
    <w:p w:rsidR="00FE26D6" w:rsidRPr="004142D8" w:rsidRDefault="00FE26D6"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FE26D6" w:rsidRPr="00FE26D6">
        <w:rPr>
          <w:sz w:val="20"/>
          <w:szCs w:val="20"/>
        </w:rPr>
        <w:t>875</w:t>
      </w:r>
      <w:r w:rsidR="00FE26D6" w:rsidRPr="00FE26D6">
        <w:rPr>
          <w:rFonts w:hint="eastAsia"/>
          <w:sz w:val="20"/>
          <w:szCs w:val="20"/>
        </w:rPr>
        <w:t> </w:t>
      </w:r>
      <w:r w:rsidR="00FE26D6" w:rsidRPr="00FE26D6">
        <w:rPr>
          <w:sz w:val="20"/>
          <w:szCs w:val="20"/>
        </w:rPr>
        <w:t xml:space="preserve">683 (восемьсот семьдесят пять тысяч шестьсот восемьдесят три) рубля 60 копеек, </w:t>
      </w:r>
      <w:r w:rsidR="00400358">
        <w:rPr>
          <w:sz w:val="20"/>
          <w:szCs w:val="20"/>
        </w:rPr>
        <w:t xml:space="preserve">в том числе НДС20% </w:t>
      </w:r>
      <w:r w:rsidR="00400358" w:rsidRPr="00400358">
        <w:rPr>
          <w:sz w:val="20"/>
          <w:szCs w:val="20"/>
        </w:rPr>
        <w:t>145</w:t>
      </w:r>
      <w:r w:rsidR="00400358">
        <w:rPr>
          <w:sz w:val="20"/>
          <w:szCs w:val="20"/>
        </w:rPr>
        <w:t xml:space="preserve"> </w:t>
      </w:r>
      <w:r w:rsidR="00400358" w:rsidRPr="00400358">
        <w:rPr>
          <w:sz w:val="20"/>
          <w:szCs w:val="20"/>
        </w:rPr>
        <w:t>947,27</w:t>
      </w:r>
      <w:r w:rsidR="00400358">
        <w:rPr>
          <w:sz w:val="20"/>
          <w:szCs w:val="20"/>
        </w:rPr>
        <w:t xml:space="preserve"> рублей</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proofErr w:type="gramStart"/>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42D8">
        <w:rPr>
          <w:sz w:val="20"/>
          <w:szCs w:val="20"/>
        </w:rPr>
        <w:t xml:space="preserve">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0C139D">
        <w:rPr>
          <w:b/>
          <w:sz w:val="20"/>
          <w:szCs w:val="20"/>
        </w:rPr>
        <w:t>01</w:t>
      </w:r>
      <w:r w:rsidR="00F435CE">
        <w:rPr>
          <w:b/>
          <w:sz w:val="20"/>
          <w:szCs w:val="20"/>
        </w:rPr>
        <w:t>.2025 до 31.12.2025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0" w:name="_Ref97898438"/>
      <w:bookmarkEnd w:id="0"/>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1" w:name="_Ref97841660"/>
      <w:bookmarkEnd w:id="1"/>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w:t>
      </w:r>
      <w:proofErr w:type="gramStart"/>
      <w:r w:rsidRPr="000C11F2">
        <w:rPr>
          <w:sz w:val="20"/>
          <w:szCs w:val="20"/>
        </w:rPr>
        <w:t>с даты обнаружения</w:t>
      </w:r>
      <w:proofErr w:type="gramEnd"/>
      <w:r w:rsidRPr="000C11F2">
        <w:rPr>
          <w:sz w:val="20"/>
          <w:szCs w:val="20"/>
        </w:rPr>
        <w:t xml:space="preserve">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FE26D6">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w:t>
      </w:r>
      <w:proofErr w:type="gramStart"/>
      <w:r w:rsidRPr="00727C1F">
        <w:rPr>
          <w:rFonts w:ascii="Times New Roman" w:hAnsi="Times New Roman"/>
        </w:rPr>
        <w:t>л</w:t>
      </w:r>
      <w:proofErr w:type="gramEnd"/>
      <w:r w:rsidRPr="00727C1F">
        <w:rPr>
          <w:rFonts w:ascii="Times New Roman" w:hAnsi="Times New Roman"/>
        </w:rPr>
        <w:t xml:space="preserve">/с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gramStart"/>
      <w:r w:rsidRPr="00727C1F">
        <w:rPr>
          <w:rFonts w:ascii="Times New Roman" w:hAnsi="Times New Roman"/>
        </w:rPr>
        <w:t>р</w:t>
      </w:r>
      <w:proofErr w:type="gramEnd"/>
      <w:r w:rsidRPr="00727C1F">
        <w:rPr>
          <w:rFonts w:ascii="Times New Roman" w:hAnsi="Times New Roman"/>
        </w:rPr>
        <w:t xml:space="preserve">/сч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Кор./сч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283266" w:rsidRPr="00283266">
        <w:rPr>
          <w:b/>
          <w:bCs/>
          <w:sz w:val="20"/>
          <w:szCs w:val="20"/>
        </w:rPr>
        <w:t>0329100015824000339</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FE26D6" w:rsidRPr="00FE26D6">
        <w:rPr>
          <w:kern w:val="16"/>
          <w:sz w:val="20"/>
          <w:szCs w:val="20"/>
        </w:rPr>
        <w:t>87568,36</w:t>
      </w:r>
      <w:r w:rsidR="00FE26D6">
        <w:rPr>
          <w:kern w:val="16"/>
          <w:sz w:val="20"/>
          <w:szCs w:val="20"/>
        </w:rPr>
        <w:t xml:space="preserve"> рублей</w:t>
      </w:r>
      <w:r w:rsidRPr="0023300C">
        <w:rPr>
          <w:sz w:val="20"/>
          <w:szCs w:val="20"/>
        </w:rPr>
        <w:t xml:space="preserve">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w:t>
      </w:r>
      <w:proofErr w:type="gramStart"/>
      <w:r w:rsidRPr="00727C1F">
        <w:rPr>
          <w:sz w:val="20"/>
          <w:szCs w:val="20"/>
        </w:rPr>
        <w:t>с даты исполнения</w:t>
      </w:r>
      <w:proofErr w:type="gramEnd"/>
      <w:r w:rsidRPr="00727C1F">
        <w:rPr>
          <w:sz w:val="20"/>
          <w:szCs w:val="20"/>
        </w:rPr>
        <w:t xml:space="preserve">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w:t>
      </w:r>
      <w:proofErr w:type="gramStart"/>
      <w:r w:rsidRPr="004142D8">
        <w:rPr>
          <w:sz w:val="20"/>
          <w:szCs w:val="20"/>
        </w:rPr>
        <w:t>с даты</w:t>
      </w:r>
      <w:proofErr w:type="gramEnd"/>
      <w:r w:rsidRPr="004142D8">
        <w:rPr>
          <w:sz w:val="20"/>
          <w:szCs w:val="2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 xml:space="preserve">арных дней </w:t>
      </w:r>
      <w:proofErr w:type="gramStart"/>
      <w:r w:rsidR="00DD77C4">
        <w:rPr>
          <w:sz w:val="20"/>
          <w:szCs w:val="20"/>
        </w:rPr>
        <w:t>с даты</w:t>
      </w:r>
      <w:proofErr w:type="gramEnd"/>
      <w:r w:rsidR="00DD77C4">
        <w:rPr>
          <w:sz w:val="20"/>
          <w:szCs w:val="20"/>
        </w:rPr>
        <w:t xml:space="preserve">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недостижения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6841B4">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CF11C0" w:rsidP="00B2238C">
            <w:pPr>
              <w:contextualSpacing/>
              <w:jc w:val="both"/>
              <w:rPr>
                <w:sz w:val="20"/>
                <w:szCs w:val="20"/>
              </w:rPr>
            </w:pPr>
            <w:r>
              <w:rPr>
                <w:sz w:val="20"/>
                <w:szCs w:val="20"/>
              </w:rPr>
              <w:t>Исполнитель</w:t>
            </w:r>
            <w:r w:rsidR="003C2EAC" w:rsidRPr="004F3557">
              <w:rPr>
                <w:sz w:val="20"/>
                <w:szCs w:val="20"/>
              </w:rPr>
              <w:t>:</w:t>
            </w:r>
          </w:p>
          <w:p w:rsidR="00CF11C0" w:rsidRPr="004F3557" w:rsidRDefault="00CF11C0" w:rsidP="00B2238C">
            <w:pPr>
              <w:contextualSpacing/>
              <w:jc w:val="both"/>
              <w:rPr>
                <w:sz w:val="20"/>
                <w:szCs w:val="20"/>
              </w:rPr>
            </w:pPr>
            <w:r w:rsidRPr="00283266">
              <w:rPr>
                <w:b/>
                <w:sz w:val="20"/>
                <w:szCs w:val="20"/>
              </w:rPr>
              <w:t>ОБЩЕСТВО С ОГРАНИЧЕННОЙ ОТВЕТСТВЕННОСТЬЮ «ИВИС» (ООО «ИВИС»)</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r w:rsidR="0075300A">
              <w:rPr>
                <w:rFonts w:ascii="Times New Roman" w:hAnsi="Times New Roman"/>
              </w:rPr>
              <w:t>з</w:t>
            </w:r>
            <w:r w:rsidRPr="004F3557">
              <w:rPr>
                <w:rFonts w:ascii="Times New Roman" w:hAnsi="Times New Roman"/>
              </w:rPr>
              <w:t>д.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proofErr w:type="gramStart"/>
            <w:r w:rsidRPr="004F3557">
              <w:rPr>
                <w:rFonts w:ascii="Times New Roman" w:hAnsi="Times New Roman"/>
              </w:rPr>
              <w:t>л</w:t>
            </w:r>
            <w:proofErr w:type="gramEnd"/>
            <w:r w:rsidRPr="004F3557">
              <w:rPr>
                <w:rFonts w:ascii="Times New Roman" w:hAnsi="Times New Roman"/>
              </w:rPr>
              <w:t>/с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gramStart"/>
            <w:r w:rsidRPr="00683A65">
              <w:rPr>
                <w:rFonts w:ascii="Times New Roman" w:hAnsi="Times New Roman"/>
              </w:rPr>
              <w:t>р</w:t>
            </w:r>
            <w:proofErr w:type="gramEnd"/>
            <w:r w:rsidRPr="00683A65">
              <w:rPr>
                <w:rFonts w:ascii="Times New Roman" w:hAnsi="Times New Roman"/>
              </w:rPr>
              <w:t>/сч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Кор./сч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CF11C0" w:rsidRPr="00452A1B" w:rsidRDefault="003808A3" w:rsidP="00B2238C">
            <w:pPr>
              <w:contextualSpacing/>
              <w:jc w:val="both"/>
              <w:rPr>
                <w:sz w:val="20"/>
                <w:szCs w:val="20"/>
              </w:rPr>
            </w:pPr>
            <w:hyperlink r:id="rId10" w:history="1">
              <w:r w:rsidR="00CF11C0" w:rsidRPr="002B778B">
                <w:rPr>
                  <w:rStyle w:val="a4"/>
                  <w:sz w:val="20"/>
                  <w:szCs w:val="20"/>
                </w:rPr>
                <w:t>valentina.dolgova@volgmed.ru</w:t>
              </w:r>
            </w:hyperlink>
            <w:r w:rsidR="00CF11C0">
              <w:rPr>
                <w:sz w:val="20"/>
                <w:szCs w:val="20"/>
              </w:rPr>
              <w:t xml:space="preserve"> </w:t>
            </w:r>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 xml:space="preserve">115230, Г МОСКВА77, ПРОЕЗД ЭЛЕКТРОЛИТНЫЙ, ДОМ 9, КОРПУС 1, ПОМЕЩЕНИЕ VIII </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ИНН: 7706605522</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КПП 772601001</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ОГРН 1057749696201</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 xml:space="preserve">Расчетный счет: 40702810238110108221 </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 xml:space="preserve">ПАО Сбербанк </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 xml:space="preserve">Корреспондентский счет: 30101810400000000225 </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БИК 044525225</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+79150229054</w:t>
            </w:r>
          </w:p>
          <w:p w:rsidR="00CF11C0" w:rsidRPr="00CF11C0" w:rsidRDefault="00CF11C0" w:rsidP="00CF11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F11C0">
              <w:rPr>
                <w:rFonts w:ascii="Times New Roman" w:hAnsi="Times New Roman"/>
              </w:rPr>
              <w:t>trivaylo@ivis.ru</w:t>
            </w:r>
          </w:p>
          <w:p w:rsidR="003C2EAC" w:rsidRPr="004F3557" w:rsidRDefault="003C2EAC" w:rsidP="00CF11C0">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CD4112" w:rsidRDefault="00CD4112"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lastRenderedPageBreak/>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283266" w:rsidRPr="00283266">
        <w:rPr>
          <w:b/>
          <w:bCs/>
          <w:sz w:val="20"/>
          <w:szCs w:val="20"/>
        </w:rPr>
        <w:t>0329100015824000339</w:t>
      </w:r>
      <w:r w:rsidR="00283266">
        <w:rPr>
          <w:b/>
          <w:bCs/>
          <w:sz w:val="20"/>
          <w:szCs w:val="20"/>
        </w:rPr>
        <w:t xml:space="preserve"> </w:t>
      </w:r>
      <w:r w:rsidR="002F7D52">
        <w:rPr>
          <w:sz w:val="20"/>
          <w:szCs w:val="20"/>
        </w:rPr>
        <w:t>от «23</w:t>
      </w:r>
      <w:r w:rsidRPr="004142D8">
        <w:rPr>
          <w:sz w:val="20"/>
          <w:szCs w:val="20"/>
        </w:rPr>
        <w:t xml:space="preserve">» </w:t>
      </w:r>
      <w:r w:rsidR="002F7D52">
        <w:rPr>
          <w:sz w:val="20"/>
          <w:szCs w:val="20"/>
        </w:rPr>
        <w:t xml:space="preserve">декабря </w:t>
      </w:r>
      <w:r w:rsidRPr="004142D8">
        <w:rPr>
          <w:sz w:val="20"/>
          <w:szCs w:val="20"/>
        </w:rPr>
        <w:t xml:space="preserve"> 20</w:t>
      </w:r>
      <w:r>
        <w:rPr>
          <w:sz w:val="20"/>
          <w:szCs w:val="20"/>
        </w:rPr>
        <w:t>2</w:t>
      </w:r>
      <w:r w:rsidR="002F7D52">
        <w:rPr>
          <w:sz w:val="20"/>
          <w:szCs w:val="20"/>
        </w:rPr>
        <w:t>4</w:t>
      </w:r>
      <w:bookmarkStart w:id="2" w:name="_GoBack"/>
      <w:bookmarkEnd w:id="2"/>
      <w:r w:rsidRPr="004142D8">
        <w:rPr>
          <w:sz w:val="20"/>
          <w:szCs w:val="20"/>
        </w:rPr>
        <w:t>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CD4112" w:rsidRPr="00CD4112" w:rsidTr="00CD4112">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w:t>
            </w:r>
            <w:proofErr w:type="gramStart"/>
            <w:r w:rsidRPr="00CD4112">
              <w:rPr>
                <w:sz w:val="15"/>
                <w:szCs w:val="15"/>
              </w:rPr>
              <w:t>п</w:t>
            </w:r>
            <w:proofErr w:type="gramEnd"/>
            <w:r w:rsidRPr="00CD4112">
              <w:rPr>
                <w:sz w:val="15"/>
                <w:szCs w:val="15"/>
              </w:rPr>
              <w:t>/п</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Позиции по КТРУ, ОКПД</w:t>
            </w:r>
            <w:proofErr w:type="gramStart"/>
            <w:r w:rsidRPr="00CD4112">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Сумма (в валюте контракта)</w:t>
            </w:r>
          </w:p>
        </w:tc>
      </w:tr>
      <w:tr w:rsidR="00CD4112" w:rsidRPr="00CD4112" w:rsidTr="00CD4112">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9</w:t>
            </w:r>
          </w:p>
        </w:tc>
      </w:tr>
      <w:tr w:rsidR="00CD4112" w:rsidRPr="00CD4112" w:rsidTr="00CD4112">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Оказание услуг по предоставлению подписки на электронные версии периодических изданий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 xml:space="preserve">1 Условная единица (усл. </w:t>
            </w:r>
            <w:proofErr w:type="gramStart"/>
            <w:r w:rsidRPr="00CD4112">
              <w:rPr>
                <w:sz w:val="15"/>
                <w:szCs w:val="15"/>
              </w:rPr>
              <w:t>ед</w:t>
            </w:r>
            <w:proofErr w:type="gramEnd"/>
            <w:r w:rsidRPr="00CD4112">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875 683.60</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20%</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875 683.60</w:t>
            </w:r>
          </w:p>
        </w:tc>
      </w:tr>
      <w:tr w:rsidR="00CD4112" w:rsidRPr="00CD4112" w:rsidTr="00CD4112">
        <w:tc>
          <w:tcPr>
            <w:tcW w:w="4519" w:type="pct"/>
            <w:gridSpan w:val="8"/>
            <w:tcMar>
              <w:top w:w="63" w:type="dxa"/>
              <w:left w:w="63" w:type="dxa"/>
              <w:bottom w:w="63" w:type="dxa"/>
              <w:right w:w="63" w:type="dxa"/>
            </w:tcMar>
            <w:vAlign w:val="center"/>
            <w:hideMark/>
          </w:tcPr>
          <w:p w:rsidR="00CD4112" w:rsidRPr="00CD4112" w:rsidRDefault="00CD4112" w:rsidP="00CD4112">
            <w:pPr>
              <w:jc w:val="right"/>
              <w:rPr>
                <w:sz w:val="15"/>
                <w:szCs w:val="15"/>
              </w:rPr>
            </w:pPr>
            <w:r w:rsidRPr="00CD4112">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D4112" w:rsidRPr="00CD4112" w:rsidRDefault="00CD4112" w:rsidP="00CD4112">
            <w:pPr>
              <w:jc w:val="center"/>
              <w:rPr>
                <w:sz w:val="15"/>
                <w:szCs w:val="15"/>
              </w:rPr>
            </w:pPr>
            <w:r w:rsidRPr="00CD4112">
              <w:rPr>
                <w:sz w:val="15"/>
                <w:szCs w:val="15"/>
              </w:rPr>
              <w:t>875 683.60</w:t>
            </w:r>
          </w:p>
        </w:tc>
      </w:tr>
    </w:tbl>
    <w:p w:rsidR="003C2EAC" w:rsidRDefault="003C2EAC" w:rsidP="003C2EAC">
      <w:pPr>
        <w:tabs>
          <w:tab w:val="center" w:pos="4844"/>
          <w:tab w:val="left" w:pos="8150"/>
        </w:tabs>
        <w:ind w:right="441" w:firstLine="709"/>
        <w:jc w:val="center"/>
        <w:rPr>
          <w:b/>
          <w:bCs/>
          <w:sz w:val="20"/>
          <w:szCs w:val="20"/>
        </w:rPr>
      </w:pPr>
    </w:p>
    <w:p w:rsidR="00283266" w:rsidRDefault="00283266"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283266" w:rsidRPr="00D75242" w:rsidTr="00FE26D6">
        <w:tc>
          <w:tcPr>
            <w:tcW w:w="7905" w:type="dxa"/>
          </w:tcPr>
          <w:p w:rsidR="00283266" w:rsidRPr="00BE177A" w:rsidRDefault="00283266" w:rsidP="00FE26D6">
            <w:pPr>
              <w:suppressAutoHyphens/>
              <w:autoSpaceDE w:val="0"/>
              <w:autoSpaceDN w:val="0"/>
              <w:adjustRightInd w:val="0"/>
              <w:jc w:val="center"/>
              <w:rPr>
                <w:sz w:val="20"/>
                <w:szCs w:val="20"/>
              </w:rPr>
            </w:pPr>
            <w:r w:rsidRPr="00BE177A">
              <w:rPr>
                <w:sz w:val="20"/>
                <w:szCs w:val="20"/>
              </w:rPr>
              <w:t>Наименование</w:t>
            </w:r>
          </w:p>
        </w:tc>
        <w:tc>
          <w:tcPr>
            <w:tcW w:w="1134" w:type="dxa"/>
          </w:tcPr>
          <w:p w:rsidR="00283266" w:rsidRPr="00D75242" w:rsidRDefault="00283266" w:rsidP="00FE26D6">
            <w:pPr>
              <w:suppressAutoHyphens/>
              <w:autoSpaceDE w:val="0"/>
              <w:autoSpaceDN w:val="0"/>
              <w:adjustRightInd w:val="0"/>
              <w:jc w:val="center"/>
              <w:rPr>
                <w:b/>
                <w:sz w:val="20"/>
                <w:szCs w:val="20"/>
              </w:rPr>
            </w:pPr>
            <w:r w:rsidRPr="00D75242">
              <w:rPr>
                <w:b/>
                <w:sz w:val="20"/>
                <w:szCs w:val="20"/>
              </w:rPr>
              <w:t>Ед. изм.</w:t>
            </w:r>
          </w:p>
        </w:tc>
        <w:tc>
          <w:tcPr>
            <w:tcW w:w="1098" w:type="dxa"/>
          </w:tcPr>
          <w:p w:rsidR="00283266" w:rsidRPr="00D75242" w:rsidRDefault="00283266" w:rsidP="00FE26D6">
            <w:pPr>
              <w:suppressAutoHyphens/>
              <w:autoSpaceDE w:val="0"/>
              <w:autoSpaceDN w:val="0"/>
              <w:adjustRightInd w:val="0"/>
              <w:jc w:val="center"/>
              <w:rPr>
                <w:b/>
                <w:sz w:val="20"/>
                <w:szCs w:val="20"/>
              </w:rPr>
            </w:pPr>
            <w:r w:rsidRPr="00D75242">
              <w:rPr>
                <w:b/>
                <w:sz w:val="20"/>
                <w:szCs w:val="20"/>
              </w:rPr>
              <w:t>Кол-во</w:t>
            </w:r>
          </w:p>
        </w:tc>
      </w:tr>
      <w:tr w:rsidR="00283266" w:rsidRPr="00D75242" w:rsidTr="00FE26D6">
        <w:tc>
          <w:tcPr>
            <w:tcW w:w="7905" w:type="dxa"/>
          </w:tcPr>
          <w:p w:rsidR="00283266" w:rsidRDefault="00283266" w:rsidP="00FE26D6">
            <w:pPr>
              <w:suppressAutoHyphens/>
              <w:autoSpaceDE w:val="0"/>
              <w:autoSpaceDN w:val="0"/>
              <w:adjustRightInd w:val="0"/>
              <w:jc w:val="both"/>
              <w:rPr>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3"/>
              <w:gridCol w:w="1379"/>
              <w:gridCol w:w="2023"/>
              <w:gridCol w:w="1004"/>
            </w:tblGrid>
            <w:tr w:rsidR="00283266" w:rsidRPr="00056868" w:rsidTr="00FE26D6">
              <w:tc>
                <w:tcPr>
                  <w:tcW w:w="2131" w:type="pct"/>
                  <w:shd w:val="clear" w:color="auto" w:fill="auto"/>
                </w:tcPr>
                <w:p w:rsidR="00283266" w:rsidRPr="00056868" w:rsidRDefault="00283266" w:rsidP="00FE26D6">
                  <w:pPr>
                    <w:jc w:val="center"/>
                    <w:rPr>
                      <w:rStyle w:val="hps"/>
                      <w:b/>
                      <w:sz w:val="20"/>
                      <w:szCs w:val="20"/>
                    </w:rPr>
                  </w:pPr>
                </w:p>
                <w:p w:rsidR="00283266" w:rsidRPr="00056868" w:rsidRDefault="00283266" w:rsidP="00FE26D6">
                  <w:pPr>
                    <w:jc w:val="center"/>
                    <w:rPr>
                      <w:rStyle w:val="hps"/>
                      <w:b/>
                      <w:sz w:val="20"/>
                      <w:szCs w:val="20"/>
                    </w:rPr>
                  </w:pPr>
                  <w:r w:rsidRPr="00056868">
                    <w:rPr>
                      <w:rStyle w:val="hps"/>
                      <w:b/>
                      <w:sz w:val="20"/>
                      <w:szCs w:val="20"/>
                    </w:rPr>
                    <w:t>Наименование</w:t>
                  </w:r>
                </w:p>
              </w:tc>
              <w:tc>
                <w:tcPr>
                  <w:tcW w:w="898" w:type="pct"/>
                  <w:shd w:val="clear" w:color="auto" w:fill="auto"/>
                </w:tcPr>
                <w:p w:rsidR="00283266" w:rsidRPr="00056868" w:rsidRDefault="00283266" w:rsidP="00FE26D6">
                  <w:pPr>
                    <w:jc w:val="center"/>
                    <w:rPr>
                      <w:rStyle w:val="hps"/>
                      <w:b/>
                      <w:sz w:val="20"/>
                      <w:szCs w:val="20"/>
                    </w:rPr>
                  </w:pPr>
                </w:p>
                <w:p w:rsidR="00283266" w:rsidRPr="00056868" w:rsidRDefault="00283266" w:rsidP="00FE26D6">
                  <w:pPr>
                    <w:jc w:val="center"/>
                    <w:rPr>
                      <w:rStyle w:val="hps"/>
                      <w:b/>
                      <w:sz w:val="20"/>
                      <w:szCs w:val="20"/>
                    </w:rPr>
                  </w:pPr>
                  <w:r>
                    <w:rPr>
                      <w:rStyle w:val="hps"/>
                      <w:b/>
                      <w:sz w:val="20"/>
                      <w:szCs w:val="20"/>
                    </w:rPr>
                    <w:t>П</w:t>
                  </w:r>
                  <w:r w:rsidRPr="00056868">
                    <w:rPr>
                      <w:rStyle w:val="hps"/>
                      <w:b/>
                      <w:sz w:val="20"/>
                      <w:szCs w:val="20"/>
                    </w:rPr>
                    <w:t>ериод</w:t>
                  </w:r>
                </w:p>
              </w:tc>
              <w:tc>
                <w:tcPr>
                  <w:tcW w:w="1317" w:type="pct"/>
                  <w:shd w:val="clear" w:color="auto" w:fill="auto"/>
                </w:tcPr>
                <w:p w:rsidR="00283266" w:rsidRPr="00056868" w:rsidRDefault="00283266" w:rsidP="00FE26D6">
                  <w:pPr>
                    <w:jc w:val="center"/>
                    <w:rPr>
                      <w:rStyle w:val="hps"/>
                      <w:b/>
                      <w:sz w:val="20"/>
                      <w:szCs w:val="20"/>
                    </w:rPr>
                  </w:pPr>
                </w:p>
                <w:p w:rsidR="00283266" w:rsidRPr="00056868" w:rsidRDefault="00283266" w:rsidP="00FE26D6">
                  <w:pPr>
                    <w:jc w:val="center"/>
                    <w:rPr>
                      <w:rStyle w:val="hps"/>
                      <w:b/>
                      <w:sz w:val="20"/>
                      <w:szCs w:val="20"/>
                    </w:rPr>
                  </w:pPr>
                  <w:r>
                    <w:rPr>
                      <w:rStyle w:val="hps"/>
                      <w:b/>
                      <w:sz w:val="20"/>
                      <w:szCs w:val="20"/>
                    </w:rPr>
                    <w:t>П</w:t>
                  </w:r>
                  <w:r w:rsidRPr="00056868">
                    <w:rPr>
                      <w:rStyle w:val="hps"/>
                      <w:b/>
                      <w:sz w:val="20"/>
                      <w:szCs w:val="20"/>
                    </w:rPr>
                    <w:t>ериодичность</w:t>
                  </w:r>
                </w:p>
              </w:tc>
              <w:tc>
                <w:tcPr>
                  <w:tcW w:w="654" w:type="pct"/>
                  <w:shd w:val="clear" w:color="auto" w:fill="auto"/>
                </w:tcPr>
                <w:p w:rsidR="00283266" w:rsidRPr="00056868" w:rsidRDefault="00283266" w:rsidP="00FE26D6">
                  <w:pPr>
                    <w:rPr>
                      <w:rStyle w:val="hps"/>
                      <w:b/>
                      <w:sz w:val="20"/>
                      <w:szCs w:val="20"/>
                    </w:rPr>
                  </w:pPr>
                </w:p>
                <w:p w:rsidR="00283266" w:rsidRPr="00056868" w:rsidRDefault="00283266" w:rsidP="00FE26D6">
                  <w:pPr>
                    <w:jc w:val="center"/>
                    <w:rPr>
                      <w:rStyle w:val="hps"/>
                      <w:b/>
                      <w:sz w:val="20"/>
                      <w:szCs w:val="20"/>
                    </w:rPr>
                  </w:pPr>
                  <w:r w:rsidRPr="00056868">
                    <w:rPr>
                      <w:rStyle w:val="hps"/>
                      <w:b/>
                      <w:sz w:val="20"/>
                      <w:szCs w:val="20"/>
                    </w:rPr>
                    <w:t xml:space="preserve">Архив </w:t>
                  </w:r>
                  <w:proofErr w:type="gramStart"/>
                  <w:r w:rsidRPr="00056868">
                    <w:rPr>
                      <w:rStyle w:val="hps"/>
                      <w:b/>
                      <w:sz w:val="20"/>
                      <w:szCs w:val="20"/>
                    </w:rPr>
                    <w:t>с</w:t>
                  </w:r>
                  <w:proofErr w:type="gramEnd"/>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Аккредитация в образовании</w:t>
                  </w:r>
                </w:p>
              </w:tc>
              <w:tc>
                <w:tcPr>
                  <w:tcW w:w="898" w:type="pct"/>
                  <w:shd w:val="clear" w:color="auto" w:fill="auto"/>
                </w:tcPr>
                <w:p w:rsidR="00283266" w:rsidRPr="00056868" w:rsidRDefault="00283266" w:rsidP="00FE26D6">
                  <w:pPr>
                    <w:jc w:val="both"/>
                    <w:rPr>
                      <w:rStyle w:val="hps"/>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8</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2021</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Акушерство и гинекология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2018</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Анестезиология и реаниматология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Архив патологии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Биомедицинская радиоэлектроника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Вестник оториноларингологии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Вестник офтальмологии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Вопросы курортологии, физиотерапии и лечебной физической культуры</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Вопросы психологии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2017</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Вопросы философии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Вопросы экономики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2006</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Гигиена и санитария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2003</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Гражданская защита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p>
                <w:p w:rsidR="00283266" w:rsidRPr="00056868" w:rsidRDefault="00283266" w:rsidP="00FE26D6">
                  <w:pPr>
                    <w:rPr>
                      <w:iCs/>
                      <w:sz w:val="20"/>
                      <w:szCs w:val="20"/>
                    </w:rPr>
                  </w:pPr>
                  <w:r w:rsidRPr="00056868">
                    <w:rPr>
                      <w:iCs/>
                      <w:sz w:val="20"/>
                      <w:szCs w:val="20"/>
                    </w:rPr>
                    <w:t>Грудная и сердечно-сосудистая хирургия</w:t>
                  </w:r>
                </w:p>
              </w:tc>
              <w:tc>
                <w:tcPr>
                  <w:tcW w:w="898" w:type="pct"/>
                  <w:shd w:val="clear" w:color="auto" w:fill="auto"/>
                </w:tcPr>
                <w:p w:rsidR="00283266" w:rsidRPr="00056868" w:rsidRDefault="00283266" w:rsidP="00FE26D6">
                  <w:pPr>
                    <w:rPr>
                      <w:rStyle w:val="hps"/>
                      <w:sz w:val="20"/>
                      <w:szCs w:val="20"/>
                    </w:rPr>
                  </w:pPr>
                </w:p>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p>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p>
                <w:p w:rsidR="00283266" w:rsidRPr="00056868" w:rsidRDefault="00283266" w:rsidP="00FE26D6">
                  <w:pPr>
                    <w:jc w:val="center"/>
                    <w:rPr>
                      <w:sz w:val="20"/>
                      <w:szCs w:val="20"/>
                    </w:rPr>
                  </w:pPr>
                  <w:r w:rsidRPr="00056868">
                    <w:rPr>
                      <w:sz w:val="20"/>
                      <w:szCs w:val="20"/>
                    </w:rPr>
                    <w:t>2017</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Детская хирургия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2014</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Журнал неврологии и психиатрии им. С.С. Корсакова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Здоровье населения и среда обитания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2023</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Инфекционные болезни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2005</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Кардиология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2017</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Клиническая дерматология и венерология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Клиническая лабораторная диагностика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2012</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Клиническая стоматология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2022</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Лабораторная служба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Маркетинг в России и за рубежом</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2012</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Медицина катастроф</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2021</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Медицина труда и промышленная экология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2023</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Медицинская сестра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8</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2006</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Менеджмент в России и за рубежом</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2012</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lastRenderedPageBreak/>
                    <w:t>Менеджмент и бизнес-администрирование</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 2016</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Молекулярная генетика, микробиология и вирусология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Нефрология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Новая аптека</w:t>
                  </w:r>
                </w:p>
              </w:tc>
              <w:tc>
                <w:tcPr>
                  <w:tcW w:w="898" w:type="pct"/>
                  <w:shd w:val="clear" w:color="auto" w:fill="auto"/>
                </w:tcPr>
                <w:p w:rsidR="00283266" w:rsidRPr="00056868" w:rsidRDefault="00283266" w:rsidP="00FE26D6">
                  <w:pPr>
                    <w:rPr>
                      <w:rStyle w:val="hps"/>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2015</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Патологическая физиология и экспериментальная терапия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2017</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Педиатрия. Журнал имени Г.Н. Сперанского</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2003</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Региональная экономика: теория и практика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2013</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Российская газета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300</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1997</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Российская ринология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Российский вестник акушера-гинеколога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Сестринское дело</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8</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2021</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Стоматология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Судебно-медицинская экспертиза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Теория и практика физической культуры</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2016</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Технологии живых систем</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Токсикологический вестник</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2022</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Университетская книга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10</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2011</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Урология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2018</w:t>
                  </w:r>
                </w:p>
              </w:tc>
            </w:tr>
            <w:tr w:rsidR="00283266" w:rsidRPr="00056868" w:rsidTr="00FE26D6">
              <w:tc>
                <w:tcPr>
                  <w:tcW w:w="2131" w:type="pct"/>
                  <w:shd w:val="clear" w:color="auto" w:fill="auto"/>
                  <w:vAlign w:val="center"/>
                </w:tcPr>
                <w:p w:rsidR="00283266" w:rsidRPr="00056868" w:rsidRDefault="00283266" w:rsidP="00FE26D6">
                  <w:pPr>
                    <w:rPr>
                      <w:bCs/>
                      <w:iCs/>
                      <w:sz w:val="20"/>
                      <w:szCs w:val="20"/>
                    </w:rPr>
                  </w:pPr>
                  <w:r w:rsidRPr="00056868">
                    <w:rPr>
                      <w:bCs/>
                      <w:iCs/>
                      <w:sz w:val="20"/>
                      <w:szCs w:val="20"/>
                    </w:rPr>
                    <w:t>Ученый совет</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2024</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Физическая культура: воспитание, образование, тренировка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2016</w:t>
                  </w:r>
                </w:p>
              </w:tc>
            </w:tr>
            <w:tr w:rsidR="00283266" w:rsidRPr="00056868" w:rsidTr="00FE26D6">
              <w:tc>
                <w:tcPr>
                  <w:tcW w:w="2131" w:type="pct"/>
                  <w:shd w:val="clear" w:color="auto" w:fill="auto"/>
                  <w:vAlign w:val="center"/>
                </w:tcPr>
                <w:p w:rsidR="00283266" w:rsidRPr="00056868" w:rsidRDefault="00283266" w:rsidP="00FE26D6">
                  <w:pPr>
                    <w:rPr>
                      <w:iCs/>
                      <w:sz w:val="20"/>
                      <w:szCs w:val="20"/>
                    </w:rPr>
                  </w:pPr>
                  <w:r w:rsidRPr="00056868">
                    <w:rPr>
                      <w:iCs/>
                      <w:sz w:val="20"/>
                      <w:szCs w:val="20"/>
                    </w:rPr>
                    <w:t>Философские науки</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2019</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Флебология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Химико-фармацевтический журнал</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2021</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Хирургия: журнал им. Н.И. Пирогова</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Экспериментальная и клиническая фармакология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12</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2021</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Эндоскопическая хирургия</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6</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2020</w:t>
                  </w:r>
                </w:p>
              </w:tc>
            </w:tr>
            <w:tr w:rsidR="00283266" w:rsidRPr="00056868" w:rsidTr="00FE26D6">
              <w:trPr>
                <w:trHeight w:val="70"/>
              </w:trPr>
              <w:tc>
                <w:tcPr>
                  <w:tcW w:w="2131" w:type="pct"/>
                  <w:shd w:val="clear" w:color="auto" w:fill="auto"/>
                  <w:vAlign w:val="center"/>
                </w:tcPr>
                <w:p w:rsidR="00283266" w:rsidRPr="00056868" w:rsidRDefault="00283266" w:rsidP="00FE26D6">
                  <w:pPr>
                    <w:rPr>
                      <w:iCs/>
                      <w:sz w:val="20"/>
                      <w:szCs w:val="20"/>
                    </w:rPr>
                  </w:pPr>
                  <w:r w:rsidRPr="00056868">
                    <w:rPr>
                      <w:iCs/>
                      <w:sz w:val="20"/>
                      <w:szCs w:val="20"/>
                    </w:rPr>
                    <w:t>Эпидемиология и инфекционные заболевания. Актуальные вопросы</w:t>
                  </w:r>
                </w:p>
              </w:tc>
              <w:tc>
                <w:tcPr>
                  <w:tcW w:w="898" w:type="pct"/>
                  <w:shd w:val="clear" w:color="auto" w:fill="auto"/>
                </w:tcPr>
                <w:p w:rsidR="00283266" w:rsidRPr="00056868" w:rsidRDefault="00283266" w:rsidP="00FE26D6">
                  <w:pPr>
                    <w:rPr>
                      <w:sz w:val="20"/>
                      <w:szCs w:val="20"/>
                    </w:rPr>
                  </w:pPr>
                  <w:r w:rsidRPr="00056868">
                    <w:rPr>
                      <w:rStyle w:val="hps"/>
                      <w:sz w:val="20"/>
                      <w:szCs w:val="20"/>
                    </w:rPr>
                    <w:t>12 месяцев</w:t>
                  </w:r>
                </w:p>
              </w:tc>
              <w:tc>
                <w:tcPr>
                  <w:tcW w:w="1317" w:type="pct"/>
                  <w:shd w:val="clear" w:color="auto" w:fill="auto"/>
                  <w:vAlign w:val="center"/>
                </w:tcPr>
                <w:p w:rsidR="00283266" w:rsidRPr="00056868" w:rsidRDefault="00283266" w:rsidP="00FE26D6">
                  <w:pPr>
                    <w:jc w:val="center"/>
                    <w:rPr>
                      <w:sz w:val="20"/>
                      <w:szCs w:val="20"/>
                    </w:rPr>
                  </w:pPr>
                  <w:r w:rsidRPr="00056868">
                    <w:rPr>
                      <w:sz w:val="20"/>
                      <w:szCs w:val="20"/>
                    </w:rPr>
                    <w:t>4</w:t>
                  </w:r>
                </w:p>
              </w:tc>
              <w:tc>
                <w:tcPr>
                  <w:tcW w:w="654" w:type="pct"/>
                  <w:shd w:val="clear" w:color="auto" w:fill="auto"/>
                  <w:vAlign w:val="center"/>
                </w:tcPr>
                <w:p w:rsidR="00283266" w:rsidRPr="00056868" w:rsidRDefault="00283266" w:rsidP="00FE26D6">
                  <w:pPr>
                    <w:jc w:val="center"/>
                    <w:rPr>
                      <w:sz w:val="20"/>
                      <w:szCs w:val="20"/>
                    </w:rPr>
                  </w:pPr>
                  <w:r w:rsidRPr="00056868">
                    <w:rPr>
                      <w:sz w:val="20"/>
                      <w:szCs w:val="20"/>
                    </w:rPr>
                    <w:t>2018</w:t>
                  </w:r>
                </w:p>
              </w:tc>
            </w:tr>
          </w:tbl>
          <w:p w:rsidR="00283266" w:rsidRPr="00056868" w:rsidRDefault="00283266" w:rsidP="00FE26D6">
            <w:pPr>
              <w:ind w:firstLine="708"/>
              <w:jc w:val="both"/>
              <w:rPr>
                <w:rStyle w:val="hps"/>
                <w:color w:val="000000"/>
                <w:sz w:val="20"/>
                <w:szCs w:val="20"/>
              </w:rPr>
            </w:pPr>
            <w:r w:rsidRPr="00056868">
              <w:rPr>
                <w:rStyle w:val="hps"/>
                <w:color w:val="000000"/>
                <w:sz w:val="20"/>
                <w:szCs w:val="20"/>
              </w:rPr>
              <w:t xml:space="preserve">Доступ организуется в многопользовательском режиме, без ограничения числа одновременных подключений к ресурсам. Полные тексты представлены в формате </w:t>
            </w:r>
            <w:r w:rsidRPr="00056868">
              <w:rPr>
                <w:rStyle w:val="hps"/>
                <w:color w:val="000000"/>
                <w:sz w:val="20"/>
                <w:szCs w:val="20"/>
                <w:lang w:val="en-US"/>
              </w:rPr>
              <w:t>HTML</w:t>
            </w:r>
            <w:r w:rsidRPr="00056868">
              <w:rPr>
                <w:rStyle w:val="hps"/>
                <w:color w:val="000000"/>
                <w:sz w:val="20"/>
                <w:szCs w:val="20"/>
              </w:rPr>
              <w:t xml:space="preserve"> и/или </w:t>
            </w:r>
            <w:r w:rsidRPr="00056868">
              <w:rPr>
                <w:rStyle w:val="hps"/>
                <w:color w:val="000000"/>
                <w:sz w:val="20"/>
                <w:szCs w:val="20"/>
                <w:lang w:val="en-US"/>
              </w:rPr>
              <w:t>PDF</w:t>
            </w:r>
            <w:r w:rsidRPr="00056868">
              <w:rPr>
                <w:rStyle w:val="hps"/>
                <w:color w:val="000000"/>
                <w:sz w:val="20"/>
                <w:szCs w:val="20"/>
              </w:rPr>
              <w:t xml:space="preserve">.Читатель может вести поиск и использовать информацию, содержащуюся в базе данных. </w:t>
            </w:r>
          </w:p>
          <w:p w:rsidR="00283266" w:rsidRPr="00056868" w:rsidRDefault="00283266" w:rsidP="00FE26D6">
            <w:pPr>
              <w:ind w:firstLine="708"/>
              <w:jc w:val="both"/>
              <w:rPr>
                <w:rStyle w:val="hps"/>
                <w:color w:val="000000"/>
                <w:sz w:val="20"/>
                <w:szCs w:val="20"/>
              </w:rPr>
            </w:pPr>
            <w:r w:rsidRPr="00056868">
              <w:rPr>
                <w:rStyle w:val="hps"/>
                <w:color w:val="000000"/>
                <w:sz w:val="20"/>
                <w:szCs w:val="20"/>
              </w:rPr>
              <w:t>Доступ организуется в однопользовательском режиме, с ограничением числа одновременных подключений к ресурсам:</w:t>
            </w:r>
          </w:p>
          <w:p w:rsidR="00283266" w:rsidRPr="00056868" w:rsidRDefault="00283266" w:rsidP="00FE26D6">
            <w:pPr>
              <w:ind w:firstLine="708"/>
              <w:jc w:val="both"/>
              <w:rPr>
                <w:rStyle w:val="hps"/>
                <w:color w:val="000000"/>
                <w:sz w:val="20"/>
                <w:szCs w:val="20"/>
              </w:rPr>
            </w:pPr>
            <w:r w:rsidRPr="00056868">
              <w:rPr>
                <w:rStyle w:val="hps"/>
                <w:color w:val="000000"/>
                <w:sz w:val="20"/>
                <w:szCs w:val="20"/>
              </w:rPr>
              <w:t>- «Новая аптека»</w:t>
            </w:r>
          </w:p>
          <w:p w:rsidR="00283266" w:rsidRDefault="00283266" w:rsidP="00FE26D6">
            <w:pPr>
              <w:shd w:val="clear" w:color="auto" w:fill="FFFFFF"/>
              <w:autoSpaceDE w:val="0"/>
              <w:autoSpaceDN w:val="0"/>
              <w:ind w:firstLine="708"/>
              <w:jc w:val="both"/>
              <w:rPr>
                <w:spacing w:val="-1"/>
              </w:rPr>
            </w:pPr>
            <w:r w:rsidRPr="00056868">
              <w:rPr>
                <w:sz w:val="20"/>
                <w:szCs w:val="20"/>
              </w:rPr>
              <w:t>Доступ к комплектам выпусков, которые указаны таблице, сохраняется на сервере  для библиотеки в течение  9 (Девяти) лет, следующих после окончания срока действия Контракта. Данная услуга является бесплатной.</w:t>
            </w:r>
          </w:p>
          <w:p w:rsidR="00283266" w:rsidRPr="00BE177A" w:rsidRDefault="00283266" w:rsidP="00FE26D6">
            <w:pPr>
              <w:suppressAutoHyphens/>
              <w:autoSpaceDE w:val="0"/>
              <w:autoSpaceDN w:val="0"/>
              <w:adjustRightInd w:val="0"/>
              <w:jc w:val="both"/>
              <w:rPr>
                <w:sz w:val="20"/>
                <w:szCs w:val="20"/>
                <w:lang w:eastAsia="en-US"/>
              </w:rPr>
            </w:pPr>
          </w:p>
          <w:p w:rsidR="00283266" w:rsidRDefault="00283266" w:rsidP="00FE26D6">
            <w:pPr>
              <w:suppressAutoHyphens/>
              <w:autoSpaceDE w:val="0"/>
              <w:autoSpaceDN w:val="0"/>
              <w:adjustRightInd w:val="0"/>
              <w:jc w:val="both"/>
              <w:rPr>
                <w:sz w:val="20"/>
                <w:szCs w:val="20"/>
              </w:rPr>
            </w:pPr>
            <w:r w:rsidRPr="00BE177A">
              <w:rPr>
                <w:sz w:val="20"/>
                <w:szCs w:val="20"/>
              </w:rPr>
              <w:t>Период оказания услуг с 01.0</w:t>
            </w:r>
            <w:r>
              <w:rPr>
                <w:sz w:val="20"/>
                <w:szCs w:val="20"/>
              </w:rPr>
              <w:t>1</w:t>
            </w:r>
            <w:r w:rsidRPr="00BE177A">
              <w:rPr>
                <w:sz w:val="20"/>
                <w:szCs w:val="20"/>
              </w:rPr>
              <w:t>.2025 до 3</w:t>
            </w:r>
            <w:r>
              <w:rPr>
                <w:sz w:val="20"/>
                <w:szCs w:val="20"/>
              </w:rPr>
              <w:t>1</w:t>
            </w:r>
            <w:r w:rsidRPr="00BE177A">
              <w:rPr>
                <w:sz w:val="20"/>
                <w:szCs w:val="20"/>
              </w:rPr>
              <w:t>.</w:t>
            </w:r>
            <w:r>
              <w:rPr>
                <w:sz w:val="20"/>
                <w:szCs w:val="20"/>
              </w:rPr>
              <w:t>12</w:t>
            </w:r>
            <w:r w:rsidRPr="00BE177A">
              <w:rPr>
                <w:sz w:val="20"/>
                <w:szCs w:val="20"/>
              </w:rPr>
              <w:t>.202</w:t>
            </w:r>
            <w:r>
              <w:rPr>
                <w:sz w:val="20"/>
                <w:szCs w:val="20"/>
              </w:rPr>
              <w:t>5</w:t>
            </w:r>
            <w:r w:rsidRPr="00BE177A">
              <w:rPr>
                <w:sz w:val="20"/>
                <w:szCs w:val="20"/>
              </w:rPr>
              <w:t xml:space="preserve"> (включительно)</w:t>
            </w:r>
          </w:p>
          <w:p w:rsidR="00D03C04" w:rsidRDefault="00D03C04" w:rsidP="00FE26D6">
            <w:pPr>
              <w:suppressAutoHyphens/>
              <w:autoSpaceDE w:val="0"/>
              <w:autoSpaceDN w:val="0"/>
              <w:adjustRightInd w:val="0"/>
              <w:jc w:val="both"/>
              <w:rPr>
                <w:sz w:val="20"/>
                <w:szCs w:val="20"/>
              </w:rPr>
            </w:pPr>
          </w:p>
          <w:p w:rsidR="00D03C04" w:rsidRPr="00D03C04" w:rsidRDefault="00D03C04" w:rsidP="00D03C04">
            <w:pPr>
              <w:suppressAutoHyphens/>
              <w:autoSpaceDE w:val="0"/>
              <w:autoSpaceDN w:val="0"/>
              <w:adjustRightInd w:val="0"/>
              <w:jc w:val="both"/>
              <w:rPr>
                <w:sz w:val="20"/>
                <w:szCs w:val="20"/>
                <w:lang w:val="en-US"/>
              </w:rPr>
            </w:pPr>
            <w:r>
              <w:rPr>
                <w:sz w:val="20"/>
                <w:szCs w:val="20"/>
              </w:rPr>
              <w:t xml:space="preserve">РРПО </w:t>
            </w:r>
            <w:r w:rsidRPr="00D03C04">
              <w:rPr>
                <w:sz w:val="20"/>
                <w:szCs w:val="20"/>
              </w:rPr>
              <w:t>12147</w:t>
            </w:r>
          </w:p>
        </w:tc>
        <w:tc>
          <w:tcPr>
            <w:tcW w:w="1134" w:type="dxa"/>
          </w:tcPr>
          <w:p w:rsidR="00283266" w:rsidRPr="00D75242" w:rsidRDefault="00283266" w:rsidP="00FE26D6">
            <w:pPr>
              <w:suppressAutoHyphens/>
              <w:autoSpaceDE w:val="0"/>
              <w:autoSpaceDN w:val="0"/>
              <w:adjustRightInd w:val="0"/>
              <w:jc w:val="center"/>
              <w:rPr>
                <w:sz w:val="20"/>
                <w:szCs w:val="20"/>
              </w:rPr>
            </w:pPr>
            <w:r w:rsidRPr="00D75242">
              <w:rPr>
                <w:sz w:val="20"/>
                <w:szCs w:val="20"/>
              </w:rPr>
              <w:lastRenderedPageBreak/>
              <w:t>Условная единица</w:t>
            </w:r>
          </w:p>
        </w:tc>
        <w:tc>
          <w:tcPr>
            <w:tcW w:w="1098" w:type="dxa"/>
          </w:tcPr>
          <w:p w:rsidR="00283266" w:rsidRPr="00D75242" w:rsidRDefault="00283266" w:rsidP="00FE26D6">
            <w:pPr>
              <w:suppressAutoHyphens/>
              <w:autoSpaceDE w:val="0"/>
              <w:autoSpaceDN w:val="0"/>
              <w:adjustRightInd w:val="0"/>
              <w:jc w:val="center"/>
              <w:rPr>
                <w:sz w:val="20"/>
                <w:szCs w:val="20"/>
              </w:rPr>
            </w:pPr>
            <w:r w:rsidRPr="00D75242">
              <w:rPr>
                <w:sz w:val="20"/>
                <w:szCs w:val="20"/>
              </w:rPr>
              <w:t>1</w:t>
            </w:r>
          </w:p>
        </w:tc>
      </w:tr>
    </w:tbl>
    <w:p w:rsidR="00283266" w:rsidRDefault="00283266"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7E021C" w:rsidP="00A001DE">
      <w:pPr>
        <w:suppressAutoHyphens/>
        <w:autoSpaceDE w:val="0"/>
        <w:autoSpaceDN w:val="0"/>
        <w:adjustRightInd w:val="0"/>
        <w:jc w:val="right"/>
        <w:rPr>
          <w:sz w:val="20"/>
          <w:szCs w:val="20"/>
          <w:lang w:val="en-US"/>
        </w:rPr>
      </w:pPr>
      <w:r w:rsidRPr="007E021C">
        <w:rPr>
          <w:noProof/>
          <w:sz w:val="20"/>
          <w:szCs w:val="20"/>
        </w:rPr>
        <w:lastRenderedPageBreak/>
        <w:drawing>
          <wp:inline distT="0" distB="0" distL="0" distR="0">
            <wp:extent cx="6480175" cy="364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480175" cy="3644900"/>
                    </a:xfrm>
                    <a:prstGeom prst="rect">
                      <a:avLst/>
                    </a:prstGeom>
                  </pic:spPr>
                </pic:pic>
              </a:graphicData>
            </a:graphic>
          </wp:inline>
        </w:drawing>
      </w: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D83" w:rsidRDefault="00B03D83" w:rsidP="006B724C">
      <w:r>
        <w:separator/>
      </w:r>
    </w:p>
  </w:endnote>
  <w:endnote w:type="continuationSeparator" w:id="0">
    <w:p w:rsidR="00B03D83" w:rsidRDefault="00B03D83"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6D6" w:rsidRDefault="003808A3" w:rsidP="00B2238C">
    <w:pPr>
      <w:pStyle w:val="ab"/>
      <w:framePr w:wrap="around" w:vAnchor="text" w:hAnchor="margin" w:xAlign="center" w:y="1"/>
      <w:rPr>
        <w:rStyle w:val="a8"/>
      </w:rPr>
    </w:pPr>
    <w:r>
      <w:rPr>
        <w:rStyle w:val="a8"/>
      </w:rPr>
      <w:fldChar w:fldCharType="begin"/>
    </w:r>
    <w:r w:rsidR="00FE26D6">
      <w:rPr>
        <w:rStyle w:val="a8"/>
      </w:rPr>
      <w:instrText xml:space="preserve">PAGE  </w:instrText>
    </w:r>
    <w:r>
      <w:rPr>
        <w:rStyle w:val="a8"/>
      </w:rPr>
      <w:fldChar w:fldCharType="end"/>
    </w:r>
  </w:p>
  <w:p w:rsidR="00FE26D6" w:rsidRDefault="00FE26D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6D6" w:rsidRDefault="003808A3" w:rsidP="00B2238C">
    <w:pPr>
      <w:pStyle w:val="ab"/>
      <w:framePr w:wrap="around" w:vAnchor="text" w:hAnchor="margin" w:xAlign="center" w:y="1"/>
      <w:rPr>
        <w:rStyle w:val="a8"/>
      </w:rPr>
    </w:pPr>
    <w:r>
      <w:rPr>
        <w:rStyle w:val="a8"/>
      </w:rPr>
      <w:fldChar w:fldCharType="begin"/>
    </w:r>
    <w:r w:rsidR="00FE26D6">
      <w:rPr>
        <w:rStyle w:val="a8"/>
      </w:rPr>
      <w:instrText xml:space="preserve">PAGE  </w:instrText>
    </w:r>
    <w:r>
      <w:rPr>
        <w:rStyle w:val="a8"/>
      </w:rPr>
      <w:fldChar w:fldCharType="separate"/>
    </w:r>
    <w:r w:rsidR="00085AE3">
      <w:rPr>
        <w:rStyle w:val="a8"/>
      </w:rPr>
      <w:t>11</w:t>
    </w:r>
    <w:r>
      <w:rPr>
        <w:rStyle w:val="a8"/>
      </w:rPr>
      <w:fldChar w:fldCharType="end"/>
    </w:r>
  </w:p>
  <w:p w:rsidR="00FE26D6" w:rsidRDefault="00FE26D6"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D83" w:rsidRDefault="00B03D83" w:rsidP="006B724C">
      <w:r>
        <w:separator/>
      </w:r>
    </w:p>
  </w:footnote>
  <w:footnote w:type="continuationSeparator" w:id="0">
    <w:p w:rsidR="00B03D83" w:rsidRDefault="00B03D83" w:rsidP="006B724C">
      <w:r>
        <w:continuationSeparator/>
      </w:r>
    </w:p>
  </w:footnote>
  <w:footnote w:id="1">
    <w:p w:rsidR="00FE26D6" w:rsidRPr="005E7EF3" w:rsidRDefault="00FE26D6"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6D6" w:rsidRDefault="003808A3" w:rsidP="00B2238C">
    <w:pPr>
      <w:pStyle w:val="a9"/>
      <w:framePr w:wrap="around" w:vAnchor="text" w:hAnchor="margin" w:xAlign="center" w:y="1"/>
      <w:rPr>
        <w:rStyle w:val="a8"/>
      </w:rPr>
    </w:pPr>
    <w:r>
      <w:rPr>
        <w:rStyle w:val="a8"/>
      </w:rPr>
      <w:fldChar w:fldCharType="begin"/>
    </w:r>
    <w:r w:rsidR="00FE26D6">
      <w:rPr>
        <w:rStyle w:val="a8"/>
      </w:rPr>
      <w:instrText xml:space="preserve">PAGE  </w:instrText>
    </w:r>
    <w:r>
      <w:rPr>
        <w:rStyle w:val="a8"/>
      </w:rPr>
      <w:fldChar w:fldCharType="end"/>
    </w:r>
  </w:p>
  <w:p w:rsidR="00FE26D6" w:rsidRDefault="00FE26D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85AE3"/>
    <w:rsid w:val="00092ADB"/>
    <w:rsid w:val="00095E17"/>
    <w:rsid w:val="000A4298"/>
    <w:rsid w:val="000A7634"/>
    <w:rsid w:val="000C139D"/>
    <w:rsid w:val="00100E0F"/>
    <w:rsid w:val="00120992"/>
    <w:rsid w:val="00147573"/>
    <w:rsid w:val="00191550"/>
    <w:rsid w:val="00195E11"/>
    <w:rsid w:val="00202C8C"/>
    <w:rsid w:val="00210FE1"/>
    <w:rsid w:val="00223627"/>
    <w:rsid w:val="002311A2"/>
    <w:rsid w:val="002316E1"/>
    <w:rsid w:val="00232674"/>
    <w:rsid w:val="00232F38"/>
    <w:rsid w:val="0023300C"/>
    <w:rsid w:val="002359C0"/>
    <w:rsid w:val="00243958"/>
    <w:rsid w:val="00250A95"/>
    <w:rsid w:val="002568CC"/>
    <w:rsid w:val="00257344"/>
    <w:rsid w:val="00262BD9"/>
    <w:rsid w:val="0026749A"/>
    <w:rsid w:val="0027663E"/>
    <w:rsid w:val="00283266"/>
    <w:rsid w:val="00294FD3"/>
    <w:rsid w:val="00295851"/>
    <w:rsid w:val="002A119A"/>
    <w:rsid w:val="002A7CA1"/>
    <w:rsid w:val="002B0360"/>
    <w:rsid w:val="002C0B77"/>
    <w:rsid w:val="002D040D"/>
    <w:rsid w:val="002D37D3"/>
    <w:rsid w:val="002E565F"/>
    <w:rsid w:val="002F7D52"/>
    <w:rsid w:val="0030142C"/>
    <w:rsid w:val="003017DC"/>
    <w:rsid w:val="00332A77"/>
    <w:rsid w:val="00342210"/>
    <w:rsid w:val="003433EE"/>
    <w:rsid w:val="00351277"/>
    <w:rsid w:val="00351700"/>
    <w:rsid w:val="00363566"/>
    <w:rsid w:val="00375C81"/>
    <w:rsid w:val="003808A3"/>
    <w:rsid w:val="00381F34"/>
    <w:rsid w:val="003A12A0"/>
    <w:rsid w:val="003B0461"/>
    <w:rsid w:val="003B3401"/>
    <w:rsid w:val="003C2EAC"/>
    <w:rsid w:val="003E55C6"/>
    <w:rsid w:val="00400358"/>
    <w:rsid w:val="0041234E"/>
    <w:rsid w:val="00412B3A"/>
    <w:rsid w:val="0042058A"/>
    <w:rsid w:val="00424F2F"/>
    <w:rsid w:val="00433E82"/>
    <w:rsid w:val="00452A1B"/>
    <w:rsid w:val="00455B14"/>
    <w:rsid w:val="0046407C"/>
    <w:rsid w:val="00466E78"/>
    <w:rsid w:val="00473F70"/>
    <w:rsid w:val="00490395"/>
    <w:rsid w:val="004B0CEA"/>
    <w:rsid w:val="004C02C8"/>
    <w:rsid w:val="004C068A"/>
    <w:rsid w:val="004D4876"/>
    <w:rsid w:val="004F39B7"/>
    <w:rsid w:val="004F44B5"/>
    <w:rsid w:val="005179F0"/>
    <w:rsid w:val="005209ED"/>
    <w:rsid w:val="00527355"/>
    <w:rsid w:val="005370CD"/>
    <w:rsid w:val="00546D1E"/>
    <w:rsid w:val="00584AA8"/>
    <w:rsid w:val="00585155"/>
    <w:rsid w:val="005956B6"/>
    <w:rsid w:val="0059738B"/>
    <w:rsid w:val="005A763A"/>
    <w:rsid w:val="005C32E4"/>
    <w:rsid w:val="005C3435"/>
    <w:rsid w:val="005F068B"/>
    <w:rsid w:val="005F12FE"/>
    <w:rsid w:val="005F1A9A"/>
    <w:rsid w:val="006108CE"/>
    <w:rsid w:val="00622783"/>
    <w:rsid w:val="00645CB6"/>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D7212"/>
    <w:rsid w:val="007E00BD"/>
    <w:rsid w:val="007E021C"/>
    <w:rsid w:val="008027CC"/>
    <w:rsid w:val="00806652"/>
    <w:rsid w:val="00817480"/>
    <w:rsid w:val="008202A0"/>
    <w:rsid w:val="008341A7"/>
    <w:rsid w:val="00835A64"/>
    <w:rsid w:val="0084244D"/>
    <w:rsid w:val="008429F5"/>
    <w:rsid w:val="00884549"/>
    <w:rsid w:val="00890E33"/>
    <w:rsid w:val="00893DC0"/>
    <w:rsid w:val="008A2CE0"/>
    <w:rsid w:val="008D30F8"/>
    <w:rsid w:val="008D5C3C"/>
    <w:rsid w:val="008D7708"/>
    <w:rsid w:val="008E1B7A"/>
    <w:rsid w:val="008E6A6F"/>
    <w:rsid w:val="009120FC"/>
    <w:rsid w:val="00935013"/>
    <w:rsid w:val="00946A4B"/>
    <w:rsid w:val="00946B7D"/>
    <w:rsid w:val="00953A59"/>
    <w:rsid w:val="00955190"/>
    <w:rsid w:val="009756B1"/>
    <w:rsid w:val="009B5403"/>
    <w:rsid w:val="009D0E54"/>
    <w:rsid w:val="009E07D4"/>
    <w:rsid w:val="009E3A33"/>
    <w:rsid w:val="00A00090"/>
    <w:rsid w:val="00A001DE"/>
    <w:rsid w:val="00A54F83"/>
    <w:rsid w:val="00A74CC0"/>
    <w:rsid w:val="00A766AD"/>
    <w:rsid w:val="00A76B31"/>
    <w:rsid w:val="00A85362"/>
    <w:rsid w:val="00A9680F"/>
    <w:rsid w:val="00A96962"/>
    <w:rsid w:val="00AA3E1B"/>
    <w:rsid w:val="00AC0849"/>
    <w:rsid w:val="00AD1EB4"/>
    <w:rsid w:val="00AD5DF9"/>
    <w:rsid w:val="00AD7353"/>
    <w:rsid w:val="00AE05B5"/>
    <w:rsid w:val="00AE1237"/>
    <w:rsid w:val="00AF0E68"/>
    <w:rsid w:val="00AF13A3"/>
    <w:rsid w:val="00B03D83"/>
    <w:rsid w:val="00B12886"/>
    <w:rsid w:val="00B2238C"/>
    <w:rsid w:val="00B33BBD"/>
    <w:rsid w:val="00B42046"/>
    <w:rsid w:val="00B5370F"/>
    <w:rsid w:val="00B778BC"/>
    <w:rsid w:val="00B8582F"/>
    <w:rsid w:val="00B96D8A"/>
    <w:rsid w:val="00BD48D4"/>
    <w:rsid w:val="00BD4A09"/>
    <w:rsid w:val="00BD6EA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82DAC"/>
    <w:rsid w:val="00C927DC"/>
    <w:rsid w:val="00CB49FA"/>
    <w:rsid w:val="00CC65A7"/>
    <w:rsid w:val="00CD2972"/>
    <w:rsid w:val="00CD3FD6"/>
    <w:rsid w:val="00CD4112"/>
    <w:rsid w:val="00CD54F3"/>
    <w:rsid w:val="00CF11C0"/>
    <w:rsid w:val="00D03A4A"/>
    <w:rsid w:val="00D03C04"/>
    <w:rsid w:val="00D1150F"/>
    <w:rsid w:val="00D3701F"/>
    <w:rsid w:val="00D56820"/>
    <w:rsid w:val="00D5713A"/>
    <w:rsid w:val="00D67AC9"/>
    <w:rsid w:val="00D83541"/>
    <w:rsid w:val="00DC09E8"/>
    <w:rsid w:val="00DC4F09"/>
    <w:rsid w:val="00DD5FF6"/>
    <w:rsid w:val="00DD77C4"/>
    <w:rsid w:val="00DE478D"/>
    <w:rsid w:val="00DF1133"/>
    <w:rsid w:val="00E07043"/>
    <w:rsid w:val="00E101F1"/>
    <w:rsid w:val="00E20A40"/>
    <w:rsid w:val="00E42C8E"/>
    <w:rsid w:val="00E5196C"/>
    <w:rsid w:val="00E93445"/>
    <w:rsid w:val="00EA4758"/>
    <w:rsid w:val="00EA631D"/>
    <w:rsid w:val="00EB64A2"/>
    <w:rsid w:val="00ED005E"/>
    <w:rsid w:val="00EF1C96"/>
    <w:rsid w:val="00EF6413"/>
    <w:rsid w:val="00F05431"/>
    <w:rsid w:val="00F05488"/>
    <w:rsid w:val="00F128DE"/>
    <w:rsid w:val="00F435CE"/>
    <w:rsid w:val="00F65D07"/>
    <w:rsid w:val="00F71123"/>
    <w:rsid w:val="00F72170"/>
    <w:rsid w:val="00F73303"/>
    <w:rsid w:val="00F91317"/>
    <w:rsid w:val="00FA587D"/>
    <w:rsid w:val="00FD1453"/>
    <w:rsid w:val="00FE26D6"/>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283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283266"/>
  </w:style>
  <w:style w:type="paragraph" w:customStyle="1" w:styleId="sub-blocktitle">
    <w:name w:val="sub-block_title"/>
    <w:basedOn w:val="a0"/>
    <w:rsid w:val="00CD4112"/>
    <w:pPr>
      <w:spacing w:before="100" w:beforeAutospacing="1" w:after="100" w:afterAutospacing="1"/>
    </w:pPr>
  </w:style>
  <w:style w:type="paragraph" w:customStyle="1" w:styleId="blocktitle">
    <w:name w:val="block_title"/>
    <w:basedOn w:val="a0"/>
    <w:rsid w:val="00CD41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932397537">
      <w:bodyDiv w:val="1"/>
      <w:marLeft w:val="0"/>
      <w:marRight w:val="0"/>
      <w:marTop w:val="0"/>
      <w:marBottom w:val="0"/>
      <w:divBdr>
        <w:top w:val="none" w:sz="0" w:space="0" w:color="auto"/>
        <w:left w:val="none" w:sz="0" w:space="0" w:color="auto"/>
        <w:bottom w:val="none" w:sz="0" w:space="0" w:color="auto"/>
        <w:right w:val="none" w:sz="0" w:space="0" w:color="auto"/>
      </w:divBdr>
      <w:divsChild>
        <w:div w:id="664358555">
          <w:marLeft w:val="0"/>
          <w:marRight w:val="0"/>
          <w:marTop w:val="0"/>
          <w:marBottom w:val="376"/>
          <w:divBdr>
            <w:top w:val="none" w:sz="0" w:space="0" w:color="auto"/>
            <w:left w:val="none" w:sz="0" w:space="0" w:color="auto"/>
            <w:bottom w:val="none" w:sz="0" w:space="0" w:color="auto"/>
            <w:right w:val="none" w:sz="0" w:space="0" w:color="auto"/>
          </w:divBdr>
          <w:divsChild>
            <w:div w:id="249851582">
              <w:marLeft w:val="0"/>
              <w:marRight w:val="0"/>
              <w:marTop w:val="0"/>
              <w:marBottom w:val="376"/>
              <w:divBdr>
                <w:top w:val="none" w:sz="0" w:space="0" w:color="auto"/>
                <w:left w:val="none" w:sz="0" w:space="0" w:color="auto"/>
                <w:bottom w:val="none" w:sz="0" w:space="0" w:color="auto"/>
                <w:right w:val="none" w:sz="0" w:space="0" w:color="auto"/>
              </w:divBdr>
            </w:div>
          </w:divsChild>
        </w:div>
        <w:div w:id="857238368">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6391</Words>
  <Characters>36434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2025-10-31T08:06:00Z</dcterms:created>
  <dcterms:modified xsi:type="dcterms:W3CDTF">2025-10-31T08:06:00Z</dcterms:modified>
</cp:coreProperties>
</file>